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BB2CA4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ООО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ООО[2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98260A">
        <w:rPr>
          <w:sz w:val="28"/>
          <w:szCs w:val="28"/>
        </w:rPr>
        <w:t xml:space="preserve"> (уровень основ</w:t>
      </w:r>
      <w:r w:rsidR="006D1D40">
        <w:rPr>
          <w:sz w:val="28"/>
          <w:szCs w:val="28"/>
        </w:rPr>
        <w:t>ного общего образования)</w:t>
      </w:r>
      <w:r w:rsidRPr="003D23F6">
        <w:rPr>
          <w:sz w:val="28"/>
          <w:szCs w:val="28"/>
        </w:rPr>
        <w:t xml:space="preserve"> </w:t>
      </w:r>
      <w:r w:rsidR="0098260A">
        <w:rPr>
          <w:sz w:val="28"/>
          <w:szCs w:val="28"/>
        </w:rPr>
        <w:t>МОУ СШ № 9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 xml:space="preserve">Федеральным государственным стандартом </w:t>
      </w:r>
      <w:r w:rsidR="0098260A">
        <w:rPr>
          <w:sz w:val="28"/>
          <w:szCs w:val="28"/>
        </w:rPr>
        <w:t>основного</w:t>
      </w:r>
      <w:r w:rsidRPr="00265EA2">
        <w:rPr>
          <w:spacing w:val="1"/>
          <w:sz w:val="28"/>
          <w:szCs w:val="28"/>
        </w:rPr>
        <w:t xml:space="preserve">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2A6DD4" w:rsidRPr="001F0F54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 w:rsidRPr="001F0F54">
        <w:rPr>
          <w:sz w:val="28"/>
          <w:szCs w:val="28"/>
        </w:rPr>
        <w:t>«Примерной</w:t>
      </w:r>
      <w:r w:rsidR="002F45ED" w:rsidRPr="001F0F54">
        <w:rPr>
          <w:sz w:val="28"/>
          <w:szCs w:val="28"/>
        </w:rPr>
        <w:t xml:space="preserve"> рабочей</w:t>
      </w:r>
      <w:r w:rsidRPr="001F0F54">
        <w:rPr>
          <w:color w:val="FF0000"/>
          <w:sz w:val="28"/>
          <w:szCs w:val="28"/>
        </w:rPr>
        <w:t xml:space="preserve"> </w:t>
      </w:r>
      <w:r w:rsidRPr="001F0F54">
        <w:rPr>
          <w:sz w:val="28"/>
          <w:szCs w:val="28"/>
        </w:rPr>
        <w:t xml:space="preserve">программой воспитания», </w:t>
      </w:r>
      <w:r w:rsidR="002F45ED" w:rsidRPr="001F0F54">
        <w:rPr>
          <w:sz w:val="28"/>
          <w:szCs w:val="28"/>
        </w:rPr>
        <w:t>утвержденной 14.04.2022</w:t>
      </w:r>
      <w:r w:rsidRPr="001F0F54">
        <w:rPr>
          <w:sz w:val="28"/>
          <w:szCs w:val="28"/>
        </w:rPr>
        <w:t xml:space="preserve"> года на заседании Федерального учебно-методического объединения по общему образованию.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98260A" w:rsidRDefault="00EA4620" w:rsidP="00265EA2">
      <w:pPr>
        <w:pStyle w:val="1"/>
        <w:spacing w:line="360" w:lineRule="auto"/>
        <w:rPr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98260A">
        <w:rPr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98260A">
        <w:rPr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</w:t>
      </w:r>
      <w:r w:rsidR="0098260A">
        <w:rPr>
          <w:bCs w:val="0"/>
          <w:color w:val="000000"/>
          <w:w w:val="0"/>
          <w:sz w:val="28"/>
          <w:szCs w:val="28"/>
        </w:rPr>
        <w:t xml:space="preserve"> </w:t>
      </w:r>
      <w:r w:rsidRPr="001F0F54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8647"/>
      </w:tblGrid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265EA2">
              <w:rPr>
                <w:rFonts w:ascii="Times New Roman" w:hAnsi="Times New Roman" w:cs="Times New Roman"/>
                <w:strike/>
                <w:w w:val="0"/>
                <w:sz w:val="28"/>
                <w:szCs w:val="28"/>
              </w:rPr>
              <w:t>м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A4620" w:rsidRPr="00265EA2" w:rsidRDefault="00EA4620" w:rsidP="00265EA2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 xml:space="preserve">социальным, информационным и природным условиям, в том числе осмысляясобственный опыт. 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Выражающий неприятие действий, приносящих вред природе, окружающей 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A4620" w:rsidRPr="001F0F54" w:rsidTr="004B364F">
        <w:trPr>
          <w:trHeight w:val="4810"/>
        </w:trPr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Познавательное 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EA4620" w:rsidRDefault="00EA4620" w:rsidP="00EA4620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</w:p>
    <w:p w:rsidR="001F0F54" w:rsidRPr="00265EA2" w:rsidRDefault="001F0F54" w:rsidP="00265EA2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8" w:name="_Toc99639553"/>
      <w:bookmarkStart w:id="9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8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0" w:name="_Toc85440220"/>
      <w:bookmarkStart w:id="11" w:name="_Toc99639554"/>
      <w:bookmarkEnd w:id="9"/>
      <w:r w:rsidRPr="00265EA2">
        <w:rPr>
          <w:sz w:val="28"/>
          <w:szCs w:val="28"/>
        </w:rPr>
        <w:t xml:space="preserve">2.1. Уклад </w:t>
      </w:r>
      <w:bookmarkEnd w:id="10"/>
      <w:r w:rsidRPr="00265EA2">
        <w:rPr>
          <w:sz w:val="28"/>
          <w:szCs w:val="28"/>
        </w:rPr>
        <w:t>общеобразовательной организации</w:t>
      </w:r>
      <w:bookmarkEnd w:id="11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2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3" w:name="_Toc85440222"/>
      <w:bookmarkStart w:id="14" w:name="_Toc99639556"/>
      <w:bookmarkStart w:id="15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3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4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6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5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 w:rsidRPr="00265EA2">
        <w:rPr>
          <w:sz w:val="28"/>
          <w:szCs w:val="28"/>
        </w:rPr>
        <w:lastRenderedPageBreak/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</w:t>
      </w:r>
      <w:r w:rsidRPr="00265EA2">
        <w:rPr>
          <w:sz w:val="28"/>
          <w:szCs w:val="28"/>
        </w:rPr>
        <w:lastRenderedPageBreak/>
        <w:t>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 xml:space="preserve">ношений в классе, помогают установлению доброжелательной атмосферы во время </w:t>
      </w:r>
      <w:r w:rsidRPr="00265EA2">
        <w:rPr>
          <w:sz w:val="28"/>
          <w:szCs w:val="28"/>
        </w:rPr>
        <w:lastRenderedPageBreak/>
        <w:t>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на следующую </w:t>
      </w:r>
      <w:r w:rsidRPr="00265EA2">
        <w:rPr>
          <w:sz w:val="28"/>
          <w:szCs w:val="28"/>
        </w:rPr>
        <w:lastRenderedPageBreak/>
        <w:t>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FF2E6E" w:rsidRDefault="00FF2E6E" w:rsidP="00FF2E6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</w:t>
      </w:r>
      <w:r w:rsidRPr="00265EA2">
        <w:rPr>
          <w:sz w:val="28"/>
          <w:szCs w:val="28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</w:t>
      </w:r>
      <w:r w:rsidRPr="00265EA2">
        <w:rPr>
          <w:sz w:val="28"/>
          <w:szCs w:val="28"/>
        </w:rPr>
        <w:lastRenderedPageBreak/>
        <w:t>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941B10">
        <w:rPr>
          <w:sz w:val="28"/>
          <w:szCs w:val="28"/>
        </w:rPr>
        <w:t>«</w:t>
      </w:r>
      <w:r w:rsidR="00DD6951" w:rsidRPr="00265EA2">
        <w:rPr>
          <w:sz w:val="28"/>
          <w:szCs w:val="28"/>
        </w:rPr>
        <w:t>Детские общественные объединения</w:t>
      </w:r>
      <w:r w:rsidR="00941B10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Школьные объединения развивают социальную направленность личности </w:t>
      </w:r>
      <w:r w:rsidRPr="00265EA2">
        <w:rPr>
          <w:sz w:val="28"/>
          <w:szCs w:val="28"/>
        </w:rPr>
        <w:lastRenderedPageBreak/>
        <w:t>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Объединения </w:t>
      </w:r>
      <w:r w:rsidR="00C340C8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 деятельность следующим образом</w:t>
      </w:r>
      <w:r w:rsidR="003D23F6" w:rsidRPr="00265EA2">
        <w:rPr>
          <w:sz w:val="28"/>
          <w:szCs w:val="28"/>
        </w:rPr>
        <w:t>:</w:t>
      </w:r>
    </w:p>
    <w:p w:rsidR="00EB34D4" w:rsidRPr="00265EA2" w:rsidRDefault="00EB34D4" w:rsidP="006E688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профессиональную </w:t>
      </w:r>
      <w:r w:rsidRPr="00265EA2">
        <w:rPr>
          <w:sz w:val="28"/>
          <w:szCs w:val="28"/>
        </w:rPr>
        <w:lastRenderedPageBreak/>
        <w:t>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разновозрастный редакционный совет </w:t>
      </w:r>
      <w:r w:rsidR="00BD7EC2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265EA2">
        <w:rPr>
          <w:sz w:val="28"/>
          <w:szCs w:val="28"/>
        </w:rPr>
        <w:lastRenderedPageBreak/>
        <w:t>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</w:t>
      </w:r>
      <w:r w:rsidRPr="00265EA2">
        <w:rPr>
          <w:sz w:val="28"/>
          <w:szCs w:val="28"/>
        </w:rPr>
        <w:lastRenderedPageBreak/>
        <w:t>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</w:t>
      </w:r>
      <w:r w:rsidRPr="00265EA2">
        <w:rPr>
          <w:sz w:val="28"/>
          <w:szCs w:val="28"/>
        </w:rPr>
        <w:lastRenderedPageBreak/>
        <w:t>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7" w:name="_Toc85440241"/>
      <w:bookmarkStart w:id="18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7"/>
      <w:bookmarkEnd w:id="18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0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9"/>
      <w:bookmarkEnd w:id="20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задач (на основе диагностики), определившиеся интересы в области теории и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1" w:name="_Toc85440245"/>
      <w:bookmarkStart w:id="22" w:name="_Toc99639561"/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1"/>
      <w:bookmarkEnd w:id="22"/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Конституция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Уголовный кодекс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Кодекс об административных правонарушениях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Федеральный закон от 29.12.2011 г. № 273-ФЗ «Об образовании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07.02.2011 г. № 3-ФЗ «О полиции»;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265EA2" w:rsidRDefault="00A566F7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 xml:space="preserve">Основная </w:t>
      </w:r>
      <w:r w:rsidR="005C0AD5" w:rsidRPr="00265EA2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lastRenderedPageBreak/>
        <w:t>Должностные инструкции специалистов, отвечающих за организацию воспитательной деятельности;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265EA2">
        <w:rPr>
          <w:color w:val="000000"/>
          <w:sz w:val="28"/>
          <w:szCs w:val="28"/>
        </w:rPr>
        <w:t>, о</w:t>
      </w:r>
      <w:r w:rsidRPr="00265EA2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265EA2">
        <w:rPr>
          <w:color w:val="000000"/>
          <w:sz w:val="28"/>
          <w:szCs w:val="28"/>
        </w:rPr>
        <w:t>щий воспитательную деятельность).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3" w:name="_Toc99639562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3"/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>
        <w:rPr>
          <w:rFonts w:ascii="Times New Roman" w:hAnsi="Times New Roman" w:cs="Times New Roman"/>
          <w:sz w:val="28"/>
          <w:szCs w:val="28"/>
        </w:rPr>
        <w:t>о</w:t>
      </w:r>
      <w:r w:rsidRPr="00265EA2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4" w:name="_Toc99639563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4"/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265EA2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265EA2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5" w:name="_Toc99639564"/>
      <w:r w:rsidRPr="00265EA2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5"/>
    </w:p>
    <w:p w:rsidR="009A4982" w:rsidRPr="00265EA2" w:rsidRDefault="002E66A3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А</w:t>
      </w:r>
      <w:r w:rsidR="009A4982" w:rsidRPr="00265EA2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принцип гуманистической направленности осуществляемого анализа, </w:t>
      </w:r>
      <w:r w:rsidRPr="00265EA2">
        <w:rPr>
          <w:sz w:val="28"/>
          <w:szCs w:val="28"/>
        </w:rPr>
        <w:lastRenderedPageBreak/>
        <w:t>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48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265EA2" w:rsidRDefault="009A4982" w:rsidP="00265EA2">
      <w:pPr>
        <w:pStyle w:val="a3"/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Внимание педагогов сосредотачивается на следующих вопросах: какие прежде </w:t>
      </w:r>
      <w:r w:rsidRPr="00265EA2">
        <w:rPr>
          <w:sz w:val="28"/>
          <w:szCs w:val="28"/>
        </w:rPr>
        <w:lastRenderedPageBreak/>
        <w:t xml:space="preserve">существовавшие проблемы личностного развития обучающихся удалось </w:t>
      </w:r>
      <w:r w:rsidR="00755F8A" w:rsidRPr="00265EA2">
        <w:rPr>
          <w:sz w:val="28"/>
          <w:szCs w:val="28"/>
        </w:rPr>
        <w:t>решить за минувший учебный год</w:t>
      </w:r>
      <w:r w:rsidRPr="00265EA2">
        <w:rPr>
          <w:sz w:val="28"/>
          <w:szCs w:val="28"/>
        </w:rPr>
        <w:t>;</w:t>
      </w:r>
      <w:r w:rsidR="00755F8A" w:rsidRPr="00265EA2">
        <w:rPr>
          <w:sz w:val="28"/>
          <w:szCs w:val="28"/>
        </w:rPr>
        <w:t xml:space="preserve"> какие проблемы</w:t>
      </w:r>
      <w:r w:rsidRPr="00265EA2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48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265EA2">
        <w:rPr>
          <w:sz w:val="28"/>
          <w:szCs w:val="28"/>
        </w:rPr>
        <w:t>ых могут быть беседы с обучающими</w:t>
      </w:r>
      <w:r w:rsidRPr="00265EA2">
        <w:rPr>
          <w:sz w:val="28"/>
          <w:szCs w:val="28"/>
        </w:rPr>
        <w:t xml:space="preserve">ся и их родителями </w:t>
      </w:r>
      <w:r w:rsidR="00755F8A" w:rsidRPr="00265EA2">
        <w:rPr>
          <w:sz w:val="28"/>
          <w:szCs w:val="28"/>
        </w:rPr>
        <w:t>(законными представителями</w:t>
      </w:r>
      <w:r w:rsidRPr="00265EA2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проводимых общешкольных ключевых дел;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функционирующих на базе образовательной организации </w:t>
      </w:r>
      <w:r w:rsidRPr="00265EA2">
        <w:rPr>
          <w:sz w:val="28"/>
          <w:szCs w:val="28"/>
        </w:rPr>
        <w:lastRenderedPageBreak/>
        <w:t>объединений;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работы медиа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lastRenderedPageBreak/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A301E9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0E3D4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</w:t>
            </w:r>
            <w:r w:rsidRPr="007251D2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D2404B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8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E80C5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F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F3604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F548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8176F8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F70F6F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1561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</w:t>
            </w:r>
            <w:r w:rsidRPr="0022706C">
              <w:rPr>
                <w:color w:val="auto"/>
              </w:rPr>
              <w:lastRenderedPageBreak/>
              <w:t>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Заместитель директора по ВР, педагог-</w:t>
            </w:r>
            <w:r w:rsidRPr="0022706C">
              <w:rPr>
                <w:color w:val="auto"/>
              </w:rPr>
              <w:lastRenderedPageBreak/>
              <w:t>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lastRenderedPageBreak/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77" w:rsidRDefault="00576B77" w:rsidP="00EA4620">
      <w:pPr>
        <w:spacing w:after="0" w:line="240" w:lineRule="auto"/>
      </w:pPr>
      <w:r>
        <w:separator/>
      </w:r>
    </w:p>
  </w:endnote>
  <w:endnote w:type="continuationSeparator" w:id="1">
    <w:p w:rsidR="00576B77" w:rsidRDefault="00576B77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77" w:rsidRDefault="00576B77" w:rsidP="00EA4620">
      <w:pPr>
        <w:spacing w:after="0" w:line="240" w:lineRule="auto"/>
      </w:pPr>
      <w:r>
        <w:separator/>
      </w:r>
    </w:p>
  </w:footnote>
  <w:footnote w:type="continuationSeparator" w:id="1">
    <w:p w:rsidR="00576B77" w:rsidRDefault="00576B77" w:rsidP="00EA4620">
      <w:pPr>
        <w:spacing w:after="0" w:line="240" w:lineRule="auto"/>
      </w:pPr>
      <w:r>
        <w:continuationSeparator/>
      </w:r>
    </w:p>
  </w:footnote>
  <w:footnote w:id="2">
    <w:p w:rsidR="00C726B9" w:rsidRPr="00EF5751" w:rsidRDefault="00C726B9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47CF1"/>
    <w:rsid w:val="00174E30"/>
    <w:rsid w:val="001A41BC"/>
    <w:rsid w:val="001E4545"/>
    <w:rsid w:val="001F0F54"/>
    <w:rsid w:val="0022706C"/>
    <w:rsid w:val="0026001C"/>
    <w:rsid w:val="00265EA2"/>
    <w:rsid w:val="00265ECB"/>
    <w:rsid w:val="002A6DD4"/>
    <w:rsid w:val="002D363D"/>
    <w:rsid w:val="002E66A3"/>
    <w:rsid w:val="002F45ED"/>
    <w:rsid w:val="00326E03"/>
    <w:rsid w:val="003511D6"/>
    <w:rsid w:val="00364C35"/>
    <w:rsid w:val="003D23F6"/>
    <w:rsid w:val="00400C13"/>
    <w:rsid w:val="004B364F"/>
    <w:rsid w:val="00576B77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34CC5"/>
    <w:rsid w:val="006738DA"/>
    <w:rsid w:val="006849B5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A0CF5"/>
    <w:rsid w:val="008E76D7"/>
    <w:rsid w:val="00941B10"/>
    <w:rsid w:val="0098260A"/>
    <w:rsid w:val="009A4982"/>
    <w:rsid w:val="009B2066"/>
    <w:rsid w:val="009C71FC"/>
    <w:rsid w:val="009D4D10"/>
    <w:rsid w:val="00A011F1"/>
    <w:rsid w:val="00A566F7"/>
    <w:rsid w:val="00A84326"/>
    <w:rsid w:val="00AC59EA"/>
    <w:rsid w:val="00AF5174"/>
    <w:rsid w:val="00B02B4C"/>
    <w:rsid w:val="00B141CA"/>
    <w:rsid w:val="00B5788F"/>
    <w:rsid w:val="00B940E0"/>
    <w:rsid w:val="00BA774A"/>
    <w:rsid w:val="00BB2CA4"/>
    <w:rsid w:val="00BC532B"/>
    <w:rsid w:val="00BD7EC2"/>
    <w:rsid w:val="00BE05B7"/>
    <w:rsid w:val="00BF3596"/>
    <w:rsid w:val="00C340C8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27965"/>
    <w:rsid w:val="00F37231"/>
    <w:rsid w:val="00F6021B"/>
    <w:rsid w:val="00FA74EA"/>
    <w:rsid w:val="00FE3FF8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16210</Words>
  <Characters>92398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37</cp:revision>
  <dcterms:created xsi:type="dcterms:W3CDTF">2021-04-09T21:16:00Z</dcterms:created>
  <dcterms:modified xsi:type="dcterms:W3CDTF">2022-08-24T11:36:00Z</dcterms:modified>
</cp:coreProperties>
</file>